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819" w:rsidRDefault="00716AF6">
      <w:pPr>
        <w:kinsoku w:val="0"/>
        <w:overflowPunct w:val="0"/>
        <w:autoSpaceDE/>
        <w:autoSpaceDN/>
        <w:adjustRightInd/>
        <w:spacing w:before="1"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RESOLUCION No. </w:t>
      </w:r>
      <w:bookmarkStart w:id="0" w:name="_GoBack"/>
      <w:r>
        <w:rPr>
          <w:rFonts w:ascii="Verdana" w:hAnsi="Verdana" w:cs="Verdana"/>
          <w:b/>
          <w:bCs/>
          <w:sz w:val="24"/>
          <w:szCs w:val="24"/>
          <w:lang w:val="es-ES" w:eastAsia="es-ES"/>
        </w:rPr>
        <w:t>TAT-3339-2017</w:t>
      </w:r>
      <w:bookmarkEnd w:id="0"/>
    </w:p>
    <w:p w:rsidR="009A5819" w:rsidRDefault="00716AF6">
      <w:pPr>
        <w:kinsoku w:val="0"/>
        <w:overflowPunct w:val="0"/>
        <w:autoSpaceDE/>
        <w:autoSpaceDN/>
        <w:adjustRightInd/>
        <w:spacing w:before="351" w:line="293"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10 horas 48 minutos del 31 de octubre de dos mil diecisiete.</w:t>
      </w:r>
    </w:p>
    <w:p w:rsidR="009A5819" w:rsidRDefault="00716AF6">
      <w:pPr>
        <w:kinsoku w:val="0"/>
        <w:overflowPunct w:val="0"/>
        <w:autoSpaceDE/>
        <w:autoSpaceDN/>
        <w:adjustRightInd/>
        <w:spacing w:before="269" w:line="293" w:lineRule="exact"/>
        <w:ind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EN SUBSIDIO, NULIDAD CONCOMITANTE EXCEPCIONES DE CADUCIDAD Y PRESCRIPCIÓN, INTERPUESTO </w:t>
      </w:r>
      <w:r>
        <w:rPr>
          <w:rFonts w:ascii="Verdana" w:hAnsi="Verdana" w:cs="Verdana"/>
          <w:sz w:val="24"/>
          <w:szCs w:val="24"/>
          <w:lang w:val="es-ES" w:eastAsia="es-ES"/>
        </w:rPr>
        <w:t xml:space="preserve">por </w:t>
      </w:r>
      <w:r>
        <w:rPr>
          <w:rFonts w:ascii="Verdana" w:hAnsi="Verdana" w:cs="Verdana"/>
          <w:b/>
          <w:bCs/>
          <w:sz w:val="24"/>
          <w:szCs w:val="24"/>
          <w:lang w:val="es-ES" w:eastAsia="es-ES"/>
        </w:rPr>
        <w:t>F</w:t>
      </w:r>
      <w:r w:rsidR="00641220">
        <w:rPr>
          <w:rFonts w:ascii="Verdana" w:hAnsi="Verdana" w:cs="Verdana"/>
          <w:b/>
          <w:bCs/>
          <w:sz w:val="24"/>
          <w:szCs w:val="24"/>
          <w:lang w:val="es-ES" w:eastAsia="es-ES"/>
        </w:rPr>
        <w:t>.J.S.A.</w:t>
      </w:r>
      <w:r>
        <w:rPr>
          <w:rFonts w:ascii="Verdana" w:hAnsi="Verdana" w:cs="Verdana"/>
          <w:b/>
          <w:bCs/>
          <w:sz w:val="24"/>
          <w:szCs w:val="24"/>
          <w:lang w:val="es-ES" w:eastAsia="es-ES"/>
        </w:rPr>
        <w:t xml:space="preserve"> cédula de identidad número </w:t>
      </w:r>
      <w:r w:rsidR="00641220">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Especial </w:t>
      </w:r>
      <w:r>
        <w:rPr>
          <w:rFonts w:ascii="Verdana" w:hAnsi="Verdana" w:cs="Verdana"/>
          <w:b/>
          <w:bCs/>
          <w:sz w:val="24"/>
          <w:szCs w:val="24"/>
          <w:lang w:val="es-ES" w:eastAsia="es-ES"/>
        </w:rPr>
        <w:t>R</w:t>
      </w:r>
      <w:r w:rsidR="00641220">
        <w:rPr>
          <w:rFonts w:ascii="Verdana" w:hAnsi="Verdana" w:cs="Verdana"/>
          <w:b/>
          <w:bCs/>
          <w:sz w:val="24"/>
          <w:szCs w:val="24"/>
          <w:lang w:val="es-ES" w:eastAsia="es-ES"/>
        </w:rPr>
        <w:t>.V.C.</w:t>
      </w:r>
      <w:r>
        <w:rPr>
          <w:rFonts w:ascii="Verdana" w:hAnsi="Verdana" w:cs="Verdana"/>
          <w:b/>
          <w:bCs/>
          <w:sz w:val="24"/>
          <w:szCs w:val="24"/>
          <w:lang w:val="es-ES" w:eastAsia="es-ES"/>
        </w:rPr>
        <w:t xml:space="preserve"> cédula de identidad número </w:t>
      </w:r>
      <w:r w:rsidR="00641220">
        <w:rPr>
          <w:rFonts w:ascii="Verdana" w:hAnsi="Verdana" w:cs="Verdana"/>
          <w:b/>
          <w:bCs/>
          <w:sz w:val="24"/>
          <w:szCs w:val="24"/>
          <w:lang w:val="es-ES" w:eastAsia="es-ES"/>
        </w:rPr>
        <w:t>…</w:t>
      </w:r>
      <w:r>
        <w:rPr>
          <w:rFonts w:ascii="Verdana" w:hAnsi="Verdana" w:cs="Verdana"/>
          <w:b/>
          <w:bCs/>
          <w:sz w:val="24"/>
          <w:szCs w:val="24"/>
          <w:lang w:val="es-ES" w:eastAsia="es-ES"/>
        </w:rPr>
        <w:t xml:space="preserve">, contra el artículo 7.4.4 de la Sesión Ordinaria 24-2017 de 14 de junio de 2017, </w:t>
      </w:r>
      <w:r>
        <w:rPr>
          <w:rFonts w:ascii="Verdana" w:hAnsi="Verdana" w:cs="Verdana"/>
          <w:sz w:val="24"/>
          <w:szCs w:val="24"/>
          <w:lang w:val="es-ES" w:eastAsia="es-ES"/>
        </w:rPr>
        <w:t xml:space="preserve">adoptado por La Junta Directiva del Consejo de Transporte Público. El caso es tramitado en este </w:t>
      </w:r>
      <w:r>
        <w:rPr>
          <w:rFonts w:ascii="Verdana" w:hAnsi="Verdana" w:cs="Verdana"/>
          <w:b/>
          <w:bCs/>
          <w:sz w:val="24"/>
          <w:szCs w:val="24"/>
          <w:lang w:val="es-ES" w:eastAsia="es-ES"/>
        </w:rPr>
        <w:t>Despacho bajo Expediente Administrativo No. TAT-119-17.</w:t>
      </w:r>
    </w:p>
    <w:p w:rsidR="009A5819" w:rsidRDefault="00716AF6">
      <w:pPr>
        <w:kinsoku w:val="0"/>
        <w:overflowPunct w:val="0"/>
        <w:autoSpaceDE/>
        <w:autoSpaceDN/>
        <w:adjustRightInd/>
        <w:spacing w:before="533" w:line="283"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9A5819" w:rsidRDefault="00716AF6">
      <w:pPr>
        <w:kinsoku w:val="0"/>
        <w:overflowPunct w:val="0"/>
        <w:autoSpaceDE/>
        <w:autoSpaceDN/>
        <w:adjustRightInd/>
        <w:spacing w:before="308" w:line="290"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7.4.4 de la Sesión Ordinaria 24-2017 de 14 de junio de 2017, </w:t>
      </w:r>
      <w:r>
        <w:rPr>
          <w:rFonts w:ascii="Verdana" w:hAnsi="Verdana" w:cs="Verdana"/>
          <w:sz w:val="24"/>
          <w:szCs w:val="24"/>
          <w:lang w:val="es-ES" w:eastAsia="es-ES"/>
        </w:rPr>
        <w:t xml:space="preserve">acordó, </w:t>
      </w:r>
      <w:r>
        <w:rPr>
          <w:rFonts w:ascii="Verdana" w:hAnsi="Verdana" w:cs="Verdana"/>
          <w:i/>
          <w:iCs/>
          <w:sz w:val="24"/>
          <w:szCs w:val="24"/>
          <w:lang w:val="es-ES" w:eastAsia="es-ES"/>
        </w:rPr>
        <w:t xml:space="preserve">iniciar procedimiento administrativo para averiguar la verdad real de los hechos respecto de la concesión administrativa de la placa de taxi </w:t>
      </w:r>
      <w:r>
        <w:rPr>
          <w:rFonts w:ascii="Verdana" w:hAnsi="Verdana" w:cs="Verdana"/>
          <w:b/>
          <w:bCs/>
          <w:i/>
          <w:iCs/>
          <w:sz w:val="24"/>
          <w:szCs w:val="24"/>
          <w:lang w:val="es-ES" w:eastAsia="es-ES"/>
        </w:rPr>
        <w:t>TSJ-</w:t>
      </w:r>
      <w:r w:rsidR="00641220">
        <w:rPr>
          <w:rFonts w:ascii="Verdana" w:hAnsi="Verdana" w:cs="Verdana"/>
          <w:b/>
          <w:bCs/>
          <w:i/>
          <w:iCs/>
          <w:sz w:val="24"/>
          <w:szCs w:val="24"/>
          <w:lang w:val="es-ES" w:eastAsia="es-ES"/>
        </w:rPr>
        <w:t>XXXX</w:t>
      </w:r>
      <w:r>
        <w:rPr>
          <w:rFonts w:ascii="Verdana" w:hAnsi="Verdana" w:cs="Verdana"/>
          <w:b/>
          <w:bCs/>
          <w:i/>
          <w:iCs/>
          <w:sz w:val="24"/>
          <w:szCs w:val="24"/>
          <w:lang w:val="es-ES" w:eastAsia="es-ES"/>
        </w:rPr>
        <w:t xml:space="preserve"> del concesionario F</w:t>
      </w:r>
      <w:r w:rsidR="00641220">
        <w:rPr>
          <w:rFonts w:ascii="Verdana" w:hAnsi="Verdana" w:cs="Verdana"/>
          <w:b/>
          <w:bCs/>
          <w:i/>
          <w:iCs/>
          <w:sz w:val="24"/>
          <w:szCs w:val="24"/>
          <w:lang w:val="es-ES" w:eastAsia="es-ES"/>
        </w:rPr>
        <w:t>.J.S.A.</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y suspender la tramitación de una solicitud de autorización previa para ceder la concesión, presentada por el recurrente hasta que se resuelva el procedimiento descrito. </w:t>
      </w:r>
      <w:r>
        <w:rPr>
          <w:rFonts w:ascii="Verdana" w:hAnsi="Verdana" w:cs="Verdana"/>
          <w:sz w:val="24"/>
          <w:szCs w:val="24"/>
          <w:lang w:val="es-ES" w:eastAsia="es-ES"/>
        </w:rPr>
        <w:t>(Léase folio 43 del expediente administrativo)</w:t>
      </w:r>
    </w:p>
    <w:p w:rsidR="009A5819" w:rsidRDefault="00716AF6">
      <w:pPr>
        <w:kinsoku w:val="0"/>
        <w:overflowPunct w:val="0"/>
        <w:autoSpaceDE/>
        <w:autoSpaceDN/>
        <w:adjustRightInd/>
        <w:spacing w:before="536" w:line="293"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El señor </w:t>
      </w:r>
      <w:r>
        <w:rPr>
          <w:rFonts w:ascii="Verdana" w:hAnsi="Verdana" w:cs="Verdana"/>
          <w:b/>
          <w:bCs/>
          <w:spacing w:val="2"/>
          <w:sz w:val="24"/>
          <w:szCs w:val="24"/>
          <w:lang w:val="es-ES" w:eastAsia="es-ES"/>
        </w:rPr>
        <w:t>F</w:t>
      </w:r>
      <w:r w:rsidR="00641220">
        <w:rPr>
          <w:rFonts w:ascii="Verdana" w:hAnsi="Verdana" w:cs="Verdana"/>
          <w:b/>
          <w:bCs/>
          <w:spacing w:val="2"/>
          <w:sz w:val="24"/>
          <w:szCs w:val="24"/>
          <w:lang w:val="es-ES" w:eastAsia="es-ES"/>
        </w:rPr>
        <w:t>.J.S.A.</w:t>
      </w:r>
      <w:r>
        <w:rPr>
          <w:rFonts w:ascii="Verdana" w:hAnsi="Verdana" w:cs="Verdana"/>
          <w:b/>
          <w:bCs/>
          <w:spacing w:val="2"/>
          <w:sz w:val="24"/>
          <w:szCs w:val="24"/>
          <w:lang w:val="es-ES" w:eastAsia="es-ES"/>
        </w:rPr>
        <w:t xml:space="preserve"> cédula de identidad número </w:t>
      </w:r>
      <w:r w:rsidR="00641220">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interpone recurso de Apelación, </w:t>
      </w:r>
      <w:r>
        <w:rPr>
          <w:rFonts w:ascii="Verdana" w:hAnsi="Verdana" w:cs="Verdana"/>
          <w:b/>
          <w:bCs/>
          <w:spacing w:val="2"/>
          <w:sz w:val="24"/>
          <w:szCs w:val="24"/>
          <w:lang w:val="es-ES" w:eastAsia="es-ES"/>
        </w:rPr>
        <w:t xml:space="preserve">contra el artículo 7.4.4 de la Sesión Ordinaria 24-2017 de 14 de junio de 2017, </w:t>
      </w:r>
      <w:r>
        <w:rPr>
          <w:rFonts w:ascii="Verdana" w:hAnsi="Verdana" w:cs="Verdana"/>
          <w:spacing w:val="2"/>
          <w:sz w:val="24"/>
          <w:szCs w:val="24"/>
          <w:lang w:val="es-ES" w:eastAsia="es-ES"/>
        </w:rPr>
        <w:t>adoptado por la Junta Directiva del Consejo de Transporte Público, por considerar que no existen fundamento jurídico para que se adoptará el acuerdo impugnado además de alegar la caducidad y la prescripción del mismo (Léanse folios del 9 al 41 del expediente administrativo)</w:t>
      </w:r>
    </w:p>
    <w:p w:rsidR="009A5819" w:rsidRDefault="009A5819">
      <w:pPr>
        <w:widowControl/>
        <w:rPr>
          <w:sz w:val="24"/>
          <w:szCs w:val="24"/>
        </w:rPr>
        <w:sectPr w:rsidR="009A5819">
          <w:pgSz w:w="12331" w:h="15686"/>
          <w:pgMar w:top="1560" w:right="1587" w:bottom="290" w:left="1584" w:header="720" w:footer="720" w:gutter="0"/>
          <w:cols w:space="720"/>
          <w:noEndnote/>
        </w:sectPr>
      </w:pPr>
    </w:p>
    <w:p w:rsidR="009A5819" w:rsidRDefault="00716AF6">
      <w:pPr>
        <w:kinsoku w:val="0"/>
        <w:overflowPunct w:val="0"/>
        <w:autoSpaceDE/>
        <w:autoSpaceDN/>
        <w:adjustRightInd/>
        <w:spacing w:before="24" w:line="291" w:lineRule="exact"/>
        <w:ind w:left="72"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TERCERO: </w:t>
      </w:r>
      <w:r>
        <w:rPr>
          <w:rFonts w:ascii="Verdana" w:hAnsi="Verdana" w:cs="Verdana"/>
          <w:sz w:val="24"/>
          <w:szCs w:val="24"/>
          <w:lang w:val="es-ES" w:eastAsia="es-ES"/>
        </w:rPr>
        <w:t xml:space="preserve">La Junta Directiva del Consejo de Transporte Pública_ mediante </w:t>
      </w:r>
      <w:r>
        <w:rPr>
          <w:rFonts w:ascii="Verdana" w:hAnsi="Verdana" w:cs="Verdana"/>
          <w:b/>
          <w:bCs/>
          <w:sz w:val="24"/>
          <w:szCs w:val="24"/>
          <w:lang w:val="es-ES" w:eastAsia="es-ES"/>
        </w:rPr>
        <w:t xml:space="preserve">acuerdo 7.4.5 de la Sesión Ordinaria 38-2017 de 4 de octubre de 2017, </w:t>
      </w:r>
      <w:r>
        <w:rPr>
          <w:rFonts w:ascii="Verdana" w:hAnsi="Verdana" w:cs="Verdana"/>
          <w:sz w:val="24"/>
          <w:szCs w:val="24"/>
          <w:lang w:val="es-ES" w:eastAsia="es-ES"/>
        </w:rPr>
        <w:t xml:space="preserve">conoce el informe de la Dirección de Asuntos Jurídicos </w:t>
      </w:r>
      <w:r>
        <w:rPr>
          <w:rFonts w:ascii="Verdana" w:hAnsi="Verdana" w:cs="Verdana"/>
          <w:b/>
          <w:bCs/>
          <w:sz w:val="24"/>
          <w:szCs w:val="24"/>
          <w:lang w:val="es-ES" w:eastAsia="es-ES"/>
        </w:rPr>
        <w:t xml:space="preserve">DAJ-2017-002414 de 21 de setiembre de 2017 </w:t>
      </w:r>
      <w:r>
        <w:rPr>
          <w:rFonts w:ascii="Verdana" w:hAnsi="Verdana" w:cs="Verdana"/>
          <w:sz w:val="24"/>
          <w:szCs w:val="24"/>
          <w:lang w:val="es-ES" w:eastAsia="es-ES"/>
        </w:rPr>
        <w:t>lo avala y acuerda rechazar el recurso de Revocatoria presentado, por ser improcedente. (Léanse folios del 1 al 7 del expediente administrativo)</w:t>
      </w:r>
    </w:p>
    <w:p w:rsidR="009A5819" w:rsidRDefault="00716AF6">
      <w:pPr>
        <w:kinsoku w:val="0"/>
        <w:overflowPunct w:val="0"/>
        <w:autoSpaceDE/>
        <w:autoSpaceDN/>
        <w:adjustRightInd/>
        <w:spacing w:before="296" w:line="282" w:lineRule="exact"/>
        <w:ind w:left="72" w:right="288"/>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rsidR="009A5819" w:rsidRDefault="00716AF6">
      <w:pPr>
        <w:kinsoku w:val="0"/>
        <w:overflowPunct w:val="0"/>
        <w:autoSpaceDE/>
        <w:autoSpaceDN/>
        <w:adjustRightInd/>
        <w:spacing w:before="294" w:line="291"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Redacta la Jueza Marta Luz Pérez Peláez; y,</w:t>
      </w:r>
    </w:p>
    <w:p w:rsidR="009A5819" w:rsidRDefault="00716AF6">
      <w:pPr>
        <w:kinsoku w:val="0"/>
        <w:overflowPunct w:val="0"/>
        <w:autoSpaceDE/>
        <w:autoSpaceDN/>
        <w:adjustRightInd/>
        <w:spacing w:before="292" w:line="284"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ÚNICO</w:t>
      </w:r>
    </w:p>
    <w:p w:rsidR="009A5819" w:rsidRDefault="00716AF6">
      <w:pPr>
        <w:kinsoku w:val="0"/>
        <w:overflowPunct w:val="0"/>
        <w:autoSpaceDE/>
        <w:autoSpaceDN/>
        <w:adjustRightInd/>
        <w:spacing w:before="298" w:line="289" w:lineRule="exact"/>
        <w:ind w:left="72"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recurso planteado por </w:t>
      </w:r>
      <w:r>
        <w:rPr>
          <w:rFonts w:ascii="Verdana" w:hAnsi="Verdana" w:cs="Verdana"/>
          <w:b/>
          <w:bCs/>
          <w:sz w:val="24"/>
          <w:szCs w:val="24"/>
          <w:lang w:val="es-ES" w:eastAsia="es-ES"/>
        </w:rPr>
        <w:t>F</w:t>
      </w:r>
      <w:r w:rsidR="00641220">
        <w:rPr>
          <w:rFonts w:ascii="Verdana" w:hAnsi="Verdana" w:cs="Verdana"/>
          <w:b/>
          <w:bCs/>
          <w:sz w:val="24"/>
          <w:szCs w:val="24"/>
          <w:lang w:val="es-ES" w:eastAsia="es-ES"/>
        </w:rPr>
        <w:t>.J.S.A.</w:t>
      </w:r>
      <w:r>
        <w:rPr>
          <w:rFonts w:ascii="Verdana" w:hAnsi="Verdana" w:cs="Verdana"/>
          <w:b/>
          <w:bCs/>
          <w:sz w:val="24"/>
          <w:szCs w:val="24"/>
          <w:lang w:val="es-ES" w:eastAsia="es-ES"/>
        </w:rPr>
        <w:t xml:space="preserve"> cédula de identidad número </w:t>
      </w:r>
      <w:r w:rsidR="00641220">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Especial </w:t>
      </w:r>
      <w:r>
        <w:rPr>
          <w:rFonts w:ascii="Verdana" w:hAnsi="Verdana" w:cs="Verdana"/>
          <w:b/>
          <w:bCs/>
          <w:sz w:val="24"/>
          <w:szCs w:val="24"/>
          <w:lang w:val="es-ES" w:eastAsia="es-ES"/>
        </w:rPr>
        <w:t>R</w:t>
      </w:r>
      <w:r w:rsidR="00641220">
        <w:rPr>
          <w:rFonts w:ascii="Verdana" w:hAnsi="Verdana" w:cs="Verdana"/>
          <w:b/>
          <w:bCs/>
          <w:sz w:val="24"/>
          <w:szCs w:val="24"/>
          <w:lang w:val="es-ES" w:eastAsia="es-ES"/>
        </w:rPr>
        <w:t>.V.C.</w:t>
      </w:r>
      <w:r>
        <w:rPr>
          <w:rFonts w:ascii="Verdana" w:hAnsi="Verdana" w:cs="Verdana"/>
          <w:b/>
          <w:bCs/>
          <w:sz w:val="24"/>
          <w:szCs w:val="24"/>
          <w:lang w:val="es-ES" w:eastAsia="es-ES"/>
        </w:rPr>
        <w:t xml:space="preserve"> cédula de identidad número </w:t>
      </w:r>
      <w:r w:rsidR="00641220">
        <w:rPr>
          <w:rFonts w:ascii="Verdana" w:hAnsi="Verdana" w:cs="Verdana"/>
          <w:b/>
          <w:bCs/>
          <w:sz w:val="24"/>
          <w:szCs w:val="24"/>
          <w:lang w:val="es-ES" w:eastAsia="es-ES"/>
        </w:rPr>
        <w:t>…</w:t>
      </w:r>
      <w:r>
        <w:rPr>
          <w:rFonts w:ascii="Verdana" w:hAnsi="Verdana" w:cs="Verdana"/>
          <w:b/>
          <w:bCs/>
          <w:sz w:val="24"/>
          <w:szCs w:val="24"/>
          <w:lang w:val="es-ES" w:eastAsia="es-ES"/>
        </w:rPr>
        <w:t xml:space="preserve">, contra el artículo 7.4.4 de la Sesión Ordinaria 24-2017 de 14 de junio de 2017, </w:t>
      </w:r>
      <w:r>
        <w:rPr>
          <w:rFonts w:ascii="Verdana" w:hAnsi="Verdana" w:cs="Verdana"/>
          <w:sz w:val="24"/>
          <w:szCs w:val="24"/>
          <w:lang w:val="es-ES" w:eastAsia="es-ES"/>
        </w:rPr>
        <w:t>es improcedente y así debe de ser declarado.</w:t>
      </w:r>
    </w:p>
    <w:p w:rsidR="009A5819" w:rsidRDefault="00716AF6">
      <w:pPr>
        <w:kinsoku w:val="0"/>
        <w:overflowPunct w:val="0"/>
        <w:autoSpaceDE/>
        <w:autoSpaceDN/>
        <w:adjustRightInd/>
        <w:spacing w:before="264" w:line="291" w:lineRule="exact"/>
        <w:ind w:left="72"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ha podido verificar, que el acuerdo recurrido, lo que dispone es iniciar procedimiento administrativo para averiguar la verdad real de los hechos respecto de la concesión de la placa de taxi </w:t>
      </w:r>
      <w:r>
        <w:rPr>
          <w:rFonts w:ascii="Verdana" w:hAnsi="Verdana" w:cs="Verdana"/>
          <w:b/>
          <w:bCs/>
          <w:sz w:val="24"/>
          <w:szCs w:val="24"/>
          <w:lang w:val="es-ES" w:eastAsia="es-ES"/>
        </w:rPr>
        <w:t>TSJ-</w:t>
      </w:r>
      <w:r w:rsidR="00641220">
        <w:rPr>
          <w:rFonts w:ascii="Verdana" w:hAnsi="Verdana" w:cs="Verdana"/>
          <w:b/>
          <w:bCs/>
          <w:sz w:val="24"/>
          <w:szCs w:val="24"/>
          <w:lang w:val="es-ES" w:eastAsia="es-ES"/>
        </w:rPr>
        <w:t>XXXX</w:t>
      </w:r>
      <w:r>
        <w:rPr>
          <w:rFonts w:ascii="Verdana" w:hAnsi="Verdana" w:cs="Verdana"/>
          <w:b/>
          <w:bCs/>
          <w:sz w:val="24"/>
          <w:szCs w:val="24"/>
          <w:lang w:val="es-ES" w:eastAsia="es-ES"/>
        </w:rPr>
        <w:t xml:space="preserve"> del concesionario F</w:t>
      </w:r>
      <w:r w:rsidR="00641220">
        <w:rPr>
          <w:rFonts w:ascii="Verdana" w:hAnsi="Verdana" w:cs="Verdana"/>
          <w:b/>
          <w:bCs/>
          <w:sz w:val="24"/>
          <w:szCs w:val="24"/>
          <w:lang w:val="es-ES" w:eastAsia="es-ES"/>
        </w:rPr>
        <w:t>.J.S.A.</w:t>
      </w:r>
      <w:r>
        <w:rPr>
          <w:rFonts w:ascii="Verdana" w:hAnsi="Verdana" w:cs="Verdana"/>
          <w:b/>
          <w:bCs/>
          <w:sz w:val="24"/>
          <w:szCs w:val="24"/>
          <w:lang w:val="es-ES" w:eastAsia="es-ES"/>
        </w:rPr>
        <w:t xml:space="preserve">, </w:t>
      </w:r>
      <w:r>
        <w:rPr>
          <w:rFonts w:ascii="Verdana" w:hAnsi="Verdana" w:cs="Verdana"/>
          <w:sz w:val="24"/>
          <w:szCs w:val="24"/>
          <w:lang w:val="es-ES" w:eastAsia="es-ES"/>
        </w:rPr>
        <w:t>suspender la tramitación de una solicitud de autorización previa para ceder concesión presentada por el recurrente hasta que se resuelva el procedimiento descrito, lo que a toda luz constituye un acto administrativo de Mero Trámite que no afecta al recurrente en su esfera personal en cuanto a los intereses legítimos o Derechos Subjetivos en este momento; pues lo que dispone es el inicio de un procedimiento administrativo de caducidad en el cual, éste tendrá la oportunidad de aportar las pruebas necesarias que sustenten sus argumentos y será el órgano director del procedimiento quien en la búsqueda de la verdad real de los hechos pueda llegar a una conclusión final; es precisamente el procedimiento el medio idóneo para la protección de los derechos de los administrados.</w:t>
      </w:r>
    </w:p>
    <w:p w:rsidR="009A5819" w:rsidRDefault="00716AF6">
      <w:pPr>
        <w:kinsoku w:val="0"/>
        <w:overflowPunct w:val="0"/>
        <w:autoSpaceDE/>
        <w:autoSpaceDN/>
        <w:adjustRightInd/>
        <w:spacing w:before="310" w:after="662" w:line="291" w:lineRule="exact"/>
        <w:ind w:left="72" w:right="288"/>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w:t>
      </w:r>
    </w:p>
    <w:p w:rsidR="009A5819" w:rsidRDefault="009A5819">
      <w:pPr>
        <w:widowControl/>
        <w:rPr>
          <w:sz w:val="24"/>
          <w:szCs w:val="24"/>
        </w:rPr>
        <w:sectPr w:rsidR="009A5819">
          <w:pgSz w:w="12331" w:h="15686"/>
          <w:pgMar w:top="1340" w:right="1435" w:bottom="230" w:left="1629" w:header="720" w:footer="720" w:gutter="0"/>
          <w:cols w:space="720"/>
          <w:noEndnote/>
        </w:sectPr>
      </w:pPr>
    </w:p>
    <w:p w:rsidR="009A5819" w:rsidRDefault="00716AF6">
      <w:pPr>
        <w:kinsoku w:val="0"/>
        <w:overflowPunct w:val="0"/>
        <w:autoSpaceDE/>
        <w:autoSpaceDN/>
        <w:adjustRightInd/>
        <w:spacing w:before="23" w:line="284" w:lineRule="exact"/>
        <w:ind w:left="288" w:right="288"/>
        <w:jc w:val="both"/>
        <w:textAlignment w:val="baseline"/>
        <w:rPr>
          <w:rFonts w:ascii="Tahoma" w:hAnsi="Tahoma" w:cs="Tahoma"/>
          <w:sz w:val="24"/>
          <w:szCs w:val="24"/>
          <w:lang w:val="es-ES" w:eastAsia="es-ES"/>
        </w:rPr>
      </w:pPr>
      <w:r>
        <w:rPr>
          <w:rFonts w:ascii="Tahoma" w:hAnsi="Tahoma" w:cs="Tahoma"/>
          <w:sz w:val="24"/>
          <w:szCs w:val="24"/>
          <w:lang w:val="es-ES" w:eastAsia="es-ES"/>
        </w:rPr>
        <w:lastRenderedPageBreak/>
        <w:t xml:space="preserve">preparatorios que frecuentemente condiciona la validez del acto principal" </w:t>
      </w:r>
      <w:r>
        <w:rPr>
          <w:rFonts w:ascii="Tahoma" w:hAnsi="Tahoma" w:cs="Tahoma"/>
          <w:sz w:val="24"/>
          <w:szCs w:val="24"/>
          <w:u w:val="single"/>
          <w:lang w:val="es-ES" w:eastAsia="es-ES"/>
        </w:rPr>
        <w:t>(Diccionario de Derecho Público,</w:t>
      </w:r>
      <w:r>
        <w:rPr>
          <w:rFonts w:ascii="Tahoma" w:hAnsi="Tahoma" w:cs="Tahoma"/>
          <w:sz w:val="24"/>
          <w:szCs w:val="24"/>
          <w:lang w:val="es-ES" w:eastAsia="es-ES"/>
        </w:rPr>
        <w:t xml:space="preserve"> Editorial Astrea de Alfredo y Ricardo </w:t>
      </w:r>
      <w:proofErr w:type="spellStart"/>
      <w:r>
        <w:rPr>
          <w:rFonts w:ascii="Tahoma" w:hAnsi="Tahoma" w:cs="Tahoma"/>
          <w:sz w:val="24"/>
          <w:szCs w:val="24"/>
          <w:lang w:val="es-ES" w:eastAsia="es-ES"/>
        </w:rPr>
        <w:t>Depalma</w:t>
      </w:r>
      <w:proofErr w:type="spellEnd"/>
      <w:r>
        <w:rPr>
          <w:rFonts w:ascii="Tahoma" w:hAnsi="Tahoma" w:cs="Tahoma"/>
          <w:sz w:val="24"/>
          <w:szCs w:val="24"/>
          <w:lang w:val="es-ES" w:eastAsia="es-ES"/>
        </w:rPr>
        <w:t>, Buenos Aires, 1981, Pág.23)</w:t>
      </w:r>
    </w:p>
    <w:p w:rsidR="009A5819" w:rsidRDefault="00716AF6">
      <w:pPr>
        <w:kinsoku w:val="0"/>
        <w:overflowPunct w:val="0"/>
        <w:autoSpaceDE/>
        <w:autoSpaceDN/>
        <w:adjustRightInd/>
        <w:spacing w:before="257" w:line="284" w:lineRule="exact"/>
        <w:ind w:left="288" w:right="288"/>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 xml:space="preserve">El </w:t>
      </w:r>
      <w:r>
        <w:rPr>
          <w:rFonts w:ascii="Tahoma" w:hAnsi="Tahoma" w:cs="Tahoma"/>
          <w:b/>
          <w:bCs/>
          <w:spacing w:val="12"/>
          <w:sz w:val="24"/>
          <w:szCs w:val="24"/>
          <w:lang w:val="es-ES" w:eastAsia="es-ES"/>
        </w:rPr>
        <w:t xml:space="preserve">Tribunal Contencioso Administrativo, Sección IV, </w:t>
      </w:r>
      <w:r>
        <w:rPr>
          <w:rFonts w:ascii="Tahoma" w:hAnsi="Tahoma" w:cs="Tahoma"/>
          <w:spacing w:val="12"/>
          <w:sz w:val="24"/>
          <w:szCs w:val="24"/>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9A5819" w:rsidRDefault="00716AF6">
      <w:pPr>
        <w:kinsoku w:val="0"/>
        <w:overflowPunct w:val="0"/>
        <w:autoSpaceDE/>
        <w:autoSpaceDN/>
        <w:adjustRightInd/>
        <w:spacing w:before="351" w:line="188" w:lineRule="exact"/>
        <w:ind w:left="792" w:right="792"/>
        <w:jc w:val="both"/>
        <w:textAlignment w:val="baseline"/>
        <w:rPr>
          <w:rFonts w:ascii="Tahoma" w:hAnsi="Tahoma" w:cs="Tahoma"/>
          <w:spacing w:val="9"/>
          <w:sz w:val="16"/>
          <w:szCs w:val="16"/>
          <w:lang w:val="es-ES" w:eastAsia="es-ES"/>
        </w:rPr>
      </w:pPr>
      <w:r>
        <w:rPr>
          <w:rFonts w:ascii="Tahoma" w:hAnsi="Tahoma" w:cs="Tahoma"/>
          <w:spacing w:val="9"/>
          <w:sz w:val="16"/>
          <w:szCs w:val="16"/>
          <w:lang w:val="es-ES" w:eastAsia="es-ES"/>
        </w:rPr>
        <w:t xml:space="preserve">"El representante del codemandado Germán Sánchez Mora, alega que constituye un </w:t>
      </w:r>
      <w:r>
        <w:rPr>
          <w:rFonts w:ascii="Tahoma" w:hAnsi="Tahoma" w:cs="Tahoma"/>
          <w:b/>
          <w:bCs/>
          <w:spacing w:val="9"/>
          <w:sz w:val="16"/>
          <w:szCs w:val="16"/>
          <w:lang w:val="es-ES" w:eastAsia="es-ES"/>
        </w:rPr>
        <w:t xml:space="preserve">acto </w:t>
      </w:r>
      <w:r>
        <w:rPr>
          <w:rFonts w:ascii="Tahoma" w:hAnsi="Tahoma" w:cs="Tahoma"/>
          <w:spacing w:val="9"/>
          <w:sz w:val="16"/>
          <w:szCs w:val="16"/>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Pr>
          <w:rFonts w:ascii="Tahoma" w:hAnsi="Tahoma" w:cs="Tahoma"/>
          <w:b/>
          <w:bCs/>
          <w:spacing w:val="9"/>
          <w:sz w:val="16"/>
          <w:szCs w:val="16"/>
          <w:lang w:val="es-ES" w:eastAsia="es-ES"/>
        </w:rPr>
        <w:t xml:space="preserve">acto </w:t>
      </w:r>
      <w:r>
        <w:rPr>
          <w:rFonts w:ascii="Tahoma" w:hAnsi="Tahoma" w:cs="Tahoma"/>
          <w:spacing w:val="9"/>
          <w:sz w:val="16"/>
          <w:szCs w:val="16"/>
          <w:lang w:val="es-ES" w:eastAsia="es-ES"/>
        </w:rPr>
        <w:t xml:space="preserve">de mero </w:t>
      </w:r>
      <w:r>
        <w:rPr>
          <w:rFonts w:ascii="Tahoma" w:hAnsi="Tahoma" w:cs="Tahoma"/>
          <w:b/>
          <w:bCs/>
          <w:spacing w:val="9"/>
          <w:sz w:val="16"/>
          <w:szCs w:val="16"/>
          <w:lang w:val="es-ES" w:eastAsia="es-ES"/>
        </w:rPr>
        <w:t xml:space="preserve">trámite </w:t>
      </w:r>
      <w:r>
        <w:rPr>
          <w:rFonts w:ascii="Tahoma" w:hAnsi="Tahoma" w:cs="Tahoma"/>
          <w:spacing w:val="9"/>
          <w:sz w:val="16"/>
          <w:szCs w:val="16"/>
          <w:lang w:val="es-ES" w:eastAsia="es-ES"/>
        </w:rPr>
        <w:t xml:space="preserve">sin que cause por sí mismo, un efecto propio. Respecto a los </w:t>
      </w:r>
      <w:r>
        <w:rPr>
          <w:rFonts w:ascii="Tahoma" w:hAnsi="Tahoma" w:cs="Tahoma"/>
          <w:b/>
          <w:bCs/>
          <w:spacing w:val="9"/>
          <w:sz w:val="16"/>
          <w:szCs w:val="16"/>
          <w:lang w:val="es-ES" w:eastAsia="es-ES"/>
        </w:rPr>
        <w:t xml:space="preserve">actos </w:t>
      </w:r>
      <w:r>
        <w:rPr>
          <w:rFonts w:ascii="Tahoma" w:hAnsi="Tahoma" w:cs="Tahoma"/>
          <w:spacing w:val="9"/>
          <w:sz w:val="16"/>
          <w:szCs w:val="16"/>
          <w:lang w:val="es-ES" w:eastAsia="es-ES"/>
        </w:rPr>
        <w:t xml:space="preserve">de mero </w:t>
      </w:r>
      <w:r>
        <w:rPr>
          <w:rFonts w:ascii="Tahoma" w:hAnsi="Tahoma" w:cs="Tahoma"/>
          <w:b/>
          <w:bCs/>
          <w:spacing w:val="9"/>
          <w:sz w:val="16"/>
          <w:szCs w:val="16"/>
          <w:lang w:val="es-ES" w:eastAsia="es-ES"/>
        </w:rPr>
        <w:t xml:space="preserve">trámite </w:t>
      </w:r>
      <w:r>
        <w:rPr>
          <w:rFonts w:ascii="Tahoma" w:hAnsi="Tahoma" w:cs="Tahoma"/>
          <w:spacing w:val="9"/>
          <w:sz w:val="16"/>
          <w:szCs w:val="16"/>
          <w:lang w:val="es-ES" w:eastAsia="es-ES"/>
        </w:rPr>
        <w:t xml:space="preserve">el Tribunal de Casación de lo Contencioso </w:t>
      </w:r>
      <w:r>
        <w:rPr>
          <w:rFonts w:ascii="Tahoma" w:hAnsi="Tahoma" w:cs="Tahoma"/>
          <w:b/>
          <w:bCs/>
          <w:spacing w:val="9"/>
          <w:sz w:val="16"/>
          <w:szCs w:val="16"/>
          <w:lang w:val="es-ES" w:eastAsia="es-ES"/>
        </w:rPr>
        <w:t xml:space="preserve">Administrativo </w:t>
      </w:r>
      <w:r>
        <w:rPr>
          <w:rFonts w:ascii="Tahoma" w:hAnsi="Tahoma" w:cs="Tahoma"/>
          <w:spacing w:val="9"/>
          <w:sz w:val="16"/>
          <w:szCs w:val="16"/>
          <w:lang w:val="es-ES" w:eastAsia="es-ES"/>
        </w:rPr>
        <w:t>ha dispuesto:</w:t>
      </w:r>
    </w:p>
    <w:p w:rsidR="009A5819" w:rsidRDefault="00716AF6">
      <w:pPr>
        <w:kinsoku w:val="0"/>
        <w:overflowPunct w:val="0"/>
        <w:autoSpaceDE/>
        <w:autoSpaceDN/>
        <w:adjustRightInd/>
        <w:spacing w:before="184" w:line="211" w:lineRule="exact"/>
        <w:ind w:left="792"/>
        <w:jc w:val="both"/>
        <w:textAlignment w:val="baseline"/>
        <w:rPr>
          <w:rFonts w:ascii="Tahoma" w:hAnsi="Tahoma" w:cs="Tahoma"/>
          <w:sz w:val="24"/>
          <w:szCs w:val="24"/>
          <w:lang w:eastAsia="en-US"/>
        </w:rPr>
      </w:pPr>
      <w:r>
        <w:rPr>
          <w:spacing w:val="2"/>
          <w:sz w:val="19"/>
          <w:szCs w:val="19"/>
          <w:lang w:val="es-ES" w:eastAsia="es-ES"/>
        </w:rPr>
        <w:t>"</w:t>
      </w:r>
      <w:proofErr w:type="gramStart"/>
      <w:r>
        <w:rPr>
          <w:spacing w:val="2"/>
          <w:sz w:val="19"/>
          <w:szCs w:val="19"/>
          <w:lang w:val="es-ES" w:eastAsia="es-ES"/>
        </w:rPr>
        <w:t>III.</w:t>
      </w:r>
      <w:r>
        <w:rPr>
          <w:spacing w:val="2"/>
          <w:sz w:val="19"/>
          <w:szCs w:val="19"/>
          <w:lang w:val="es-ES" w:eastAsia="es-ES"/>
        </w:rPr>
        <w:noBreakHyphen/>
      </w:r>
      <w:proofErr w:type="gramEnd"/>
    </w:p>
    <w:p w:rsidR="009A5819" w:rsidRDefault="00716AF6">
      <w:pPr>
        <w:kinsoku w:val="0"/>
        <w:overflowPunct w:val="0"/>
        <w:autoSpaceDE/>
        <w:autoSpaceDN/>
        <w:adjustRightInd/>
        <w:spacing w:before="14" w:line="189" w:lineRule="exact"/>
        <w:ind w:left="792" w:right="792"/>
        <w:jc w:val="both"/>
        <w:textAlignment w:val="baseline"/>
        <w:rPr>
          <w:rFonts w:ascii="Tahoma" w:hAnsi="Tahoma" w:cs="Tahoma"/>
          <w:spacing w:val="7"/>
          <w:sz w:val="16"/>
          <w:szCs w:val="16"/>
          <w:lang w:val="es-ES" w:eastAsia="es-ES"/>
        </w:rPr>
      </w:pPr>
      <w:r>
        <w:rPr>
          <w:rFonts w:ascii="Tahoma" w:hAnsi="Tahoma" w:cs="Tahoma"/>
          <w:spacing w:val="7"/>
          <w:sz w:val="16"/>
          <w:szCs w:val="16"/>
          <w:lang w:val="es-ES" w:eastAsia="es-ES"/>
        </w:rPr>
        <w:t xml:space="preserve">En lo tocante a la diferencia entre los </w:t>
      </w:r>
      <w:r>
        <w:rPr>
          <w:rFonts w:ascii="Tahoma" w:hAnsi="Tahoma" w:cs="Tahoma"/>
          <w:b/>
          <w:bCs/>
          <w:spacing w:val="7"/>
          <w:sz w:val="16"/>
          <w:szCs w:val="16"/>
          <w:lang w:val="es-ES" w:eastAsia="es-ES"/>
        </w:rPr>
        <w:t xml:space="preserve">actos </w:t>
      </w:r>
      <w:r>
        <w:rPr>
          <w:rFonts w:ascii="Tahoma" w:hAnsi="Tahoma" w:cs="Tahoma"/>
          <w:spacing w:val="7"/>
          <w:sz w:val="16"/>
          <w:szCs w:val="16"/>
          <w:lang w:val="es-ES" w:eastAsia="es-ES"/>
        </w:rPr>
        <w:t xml:space="preserve">preparatorios y los </w:t>
      </w:r>
      <w:r>
        <w:rPr>
          <w:rFonts w:ascii="Tahoma" w:hAnsi="Tahoma" w:cs="Tahoma"/>
          <w:b/>
          <w:bCs/>
          <w:spacing w:val="7"/>
          <w:sz w:val="16"/>
          <w:szCs w:val="16"/>
          <w:lang w:val="es-ES" w:eastAsia="es-ES"/>
        </w:rPr>
        <w:t xml:space="preserve">actos </w:t>
      </w:r>
      <w:r>
        <w:rPr>
          <w:rFonts w:ascii="Tahoma" w:hAnsi="Tahoma" w:cs="Tahoma"/>
          <w:spacing w:val="7"/>
          <w:sz w:val="16"/>
          <w:szCs w:val="16"/>
          <w:lang w:val="es-ES" w:eastAsia="es-ES"/>
        </w:rPr>
        <w:t xml:space="preserve">finales o con efectos propios este Tribunal de Casación expresó: "Para que un </w:t>
      </w:r>
      <w:r>
        <w:rPr>
          <w:rFonts w:ascii="Tahoma" w:hAnsi="Tahoma" w:cs="Tahoma"/>
          <w:b/>
          <w:bCs/>
          <w:spacing w:val="7"/>
          <w:sz w:val="16"/>
          <w:szCs w:val="16"/>
          <w:lang w:val="es-ES" w:eastAsia="es-ES"/>
        </w:rPr>
        <w:t xml:space="preserve">acto administrativo </w:t>
      </w:r>
      <w:r>
        <w:rPr>
          <w:rFonts w:ascii="Tahoma" w:hAnsi="Tahoma" w:cs="Tahoma"/>
          <w:spacing w:val="7"/>
          <w:sz w:val="16"/>
          <w:szCs w:val="16"/>
          <w:lang w:val="es-ES" w:eastAsia="es-ES"/>
        </w:rPr>
        <w:t xml:space="preserve">posea efectos jurídicos propios no debe estar subordinado a ningún otro posterior. Ha de generar efectos sobre los administrados, a diferencia de los de </w:t>
      </w:r>
      <w:r>
        <w:rPr>
          <w:rFonts w:ascii="Tahoma" w:hAnsi="Tahoma" w:cs="Tahoma"/>
          <w:b/>
          <w:bCs/>
          <w:spacing w:val="7"/>
          <w:sz w:val="16"/>
          <w:szCs w:val="16"/>
          <w:lang w:val="es-ES" w:eastAsia="es-ES"/>
        </w:rPr>
        <w:t xml:space="preserve">trámite </w:t>
      </w:r>
      <w:r>
        <w:rPr>
          <w:rFonts w:ascii="Tahoma" w:hAnsi="Tahoma" w:cs="Tahoma"/>
          <w:spacing w:val="7"/>
          <w:sz w:val="16"/>
          <w:szCs w:val="16"/>
          <w:lang w:val="es-ES" w:eastAsia="es-ES"/>
        </w:rPr>
        <w:t xml:space="preserve">o preparatorios que informan o preparan la emisión del </w:t>
      </w:r>
      <w:r>
        <w:rPr>
          <w:rFonts w:ascii="Tahoma" w:hAnsi="Tahoma" w:cs="Tahoma"/>
          <w:b/>
          <w:bCs/>
          <w:spacing w:val="7"/>
          <w:sz w:val="16"/>
          <w:szCs w:val="16"/>
          <w:lang w:val="es-ES" w:eastAsia="es-ES"/>
        </w:rPr>
        <w:t xml:space="preserve">acto administrativo </w:t>
      </w:r>
      <w:r>
        <w:rPr>
          <w:rFonts w:ascii="Tahoma" w:hAnsi="Tahoma" w:cs="Tahoma"/>
          <w:spacing w:val="7"/>
          <w:sz w:val="16"/>
          <w:szCs w:val="16"/>
          <w:lang w:val="es-ES" w:eastAsia="es-ES"/>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Pr>
          <w:rFonts w:ascii="Tahoma" w:hAnsi="Tahoma" w:cs="Tahoma"/>
          <w:b/>
          <w:bCs/>
          <w:spacing w:val="7"/>
          <w:sz w:val="16"/>
          <w:szCs w:val="16"/>
          <w:lang w:val="es-ES" w:eastAsia="es-ES"/>
        </w:rPr>
        <w:t xml:space="preserve">actos </w:t>
      </w:r>
      <w:r>
        <w:rPr>
          <w:rFonts w:ascii="Tahoma" w:hAnsi="Tahoma" w:cs="Tahoma"/>
          <w:spacing w:val="7"/>
          <w:sz w:val="16"/>
          <w:szCs w:val="16"/>
          <w:lang w:val="es-ES" w:eastAsia="es-ES"/>
        </w:rPr>
        <w:t xml:space="preserve">previos no sean impugnables, sino que deben serlo junto con el </w:t>
      </w:r>
      <w:r>
        <w:rPr>
          <w:rFonts w:ascii="Tahoma" w:hAnsi="Tahoma" w:cs="Tahoma"/>
          <w:b/>
          <w:bCs/>
          <w:spacing w:val="7"/>
          <w:sz w:val="16"/>
          <w:szCs w:val="16"/>
          <w:lang w:val="es-ES" w:eastAsia="es-ES"/>
        </w:rPr>
        <w:t xml:space="preserve">acto </w:t>
      </w:r>
      <w:r>
        <w:rPr>
          <w:rFonts w:ascii="Tahoma" w:hAnsi="Tahoma" w:cs="Tahoma"/>
          <w:spacing w:val="7"/>
          <w:sz w:val="16"/>
          <w:szCs w:val="16"/>
          <w:lang w:val="es-ES" w:eastAsia="es-ES"/>
        </w:rPr>
        <w:t xml:space="preserve">final, que posee efectos jurídicos propios (no. 4075 de las 10 horas con 36 minutos de 1995)". </w:t>
      </w:r>
      <w:proofErr w:type="spellStart"/>
      <w:r>
        <w:rPr>
          <w:rFonts w:ascii="Tahoma" w:hAnsi="Tahoma" w:cs="Tahoma"/>
          <w:spacing w:val="7"/>
          <w:sz w:val="16"/>
          <w:szCs w:val="16"/>
          <w:lang w:val="es-ES" w:eastAsia="es-ES"/>
        </w:rPr>
        <w:t>N°</w:t>
      </w:r>
      <w:proofErr w:type="spellEnd"/>
      <w:r>
        <w:rPr>
          <w:rFonts w:ascii="Tahoma" w:hAnsi="Tahoma" w:cs="Tahoma"/>
          <w:spacing w:val="7"/>
          <w:sz w:val="16"/>
          <w:szCs w:val="16"/>
          <w:lang w:val="es-ES" w:eastAsia="es-ES"/>
        </w:rPr>
        <w:t xml:space="preserve"> 104 de las 11 horas 10 minutos del primero de junio de 2009</w:t>
      </w:r>
      <w:proofErr w:type="gramStart"/>
      <w:r>
        <w:rPr>
          <w:rFonts w:ascii="Tahoma" w:hAnsi="Tahoma" w:cs="Tahoma"/>
          <w:spacing w:val="7"/>
          <w:sz w:val="16"/>
          <w:szCs w:val="16"/>
          <w:lang w:val="es-ES" w:eastAsia="es-ES"/>
        </w:rPr>
        <w:t>.)(</w:t>
      </w:r>
      <w:proofErr w:type="gramEnd"/>
      <w:r>
        <w:rPr>
          <w:rFonts w:ascii="Tahoma" w:hAnsi="Tahoma" w:cs="Tahoma"/>
          <w:spacing w:val="7"/>
          <w:sz w:val="16"/>
          <w:szCs w:val="16"/>
          <w:lang w:val="es-ES" w:eastAsia="es-ES"/>
        </w:rPr>
        <w:t>Sentencia: 00014 Expediente: 10-001549</w:t>
      </w:r>
      <w:r>
        <w:rPr>
          <w:rFonts w:ascii="Tahoma" w:hAnsi="Tahoma" w:cs="Tahoma"/>
          <w:spacing w:val="7"/>
          <w:sz w:val="16"/>
          <w:szCs w:val="16"/>
          <w:lang w:val="es-ES" w:eastAsia="es-ES"/>
        </w:rPr>
        <w:softHyphen/>
        <w:t>1027-CA Fecha: 22/03/2012 Hora: 08:30)""</w:t>
      </w:r>
    </w:p>
    <w:p w:rsidR="009A5819" w:rsidRDefault="00716AF6">
      <w:pPr>
        <w:kinsoku w:val="0"/>
        <w:overflowPunct w:val="0"/>
        <w:autoSpaceDE/>
        <w:autoSpaceDN/>
        <w:adjustRightInd/>
        <w:spacing w:before="304" w:line="275" w:lineRule="exact"/>
        <w:ind w:left="288" w:right="288"/>
        <w:jc w:val="both"/>
        <w:textAlignment w:val="baseline"/>
        <w:rPr>
          <w:rFonts w:ascii="Tahoma" w:hAnsi="Tahoma" w:cs="Tahoma"/>
          <w:sz w:val="24"/>
          <w:szCs w:val="24"/>
          <w:lang w:val="es-ES" w:eastAsia="es-ES"/>
        </w:rPr>
      </w:pPr>
      <w:r>
        <w:rPr>
          <w:rFonts w:ascii="Tahoma" w:hAnsi="Tahoma" w:cs="Tahoma"/>
          <w:sz w:val="24"/>
          <w:szCs w:val="24"/>
          <w:lang w:val="es-ES" w:eastAsia="es-ES"/>
        </w:rPr>
        <w:t xml:space="preserve">Por lo </w:t>
      </w:r>
      <w:r w:rsidR="00641220">
        <w:rPr>
          <w:rFonts w:ascii="Tahoma" w:hAnsi="Tahoma" w:cs="Tahoma"/>
          <w:sz w:val="24"/>
          <w:szCs w:val="24"/>
          <w:lang w:val="es-ES" w:eastAsia="es-ES"/>
        </w:rPr>
        <w:t>indicado</w:t>
      </w:r>
      <w:r>
        <w:rPr>
          <w:rFonts w:ascii="Tahoma" w:hAnsi="Tahoma" w:cs="Tahoma"/>
          <w:sz w:val="24"/>
          <w:szCs w:val="24"/>
          <w:lang w:val="es-ES" w:eastAsia="es-ES"/>
        </w:rPr>
        <w:t>, dele</w:t>
      </w:r>
      <w:r w:rsidR="00641220">
        <w:rPr>
          <w:rFonts w:ascii="Tahoma" w:hAnsi="Tahoma" w:cs="Tahoma"/>
          <w:sz w:val="24"/>
          <w:szCs w:val="24"/>
          <w:lang w:val="es-ES" w:eastAsia="es-ES"/>
        </w:rPr>
        <w:t xml:space="preserve"> </w:t>
      </w:r>
      <w:r>
        <w:rPr>
          <w:rFonts w:ascii="Tahoma" w:hAnsi="Tahoma" w:cs="Tahoma"/>
          <w:sz w:val="24"/>
          <w:szCs w:val="24"/>
          <w:lang w:val="es-ES" w:eastAsia="es-ES"/>
        </w:rPr>
        <w:t>recordarse que en el procedimiento administrativo ordinario lo</w:t>
      </w:r>
      <w:r w:rsidR="00641220">
        <w:rPr>
          <w:rFonts w:ascii="Tahoma" w:hAnsi="Tahoma" w:cs="Tahoma"/>
          <w:sz w:val="24"/>
          <w:szCs w:val="24"/>
          <w:lang w:val="es-ES" w:eastAsia="es-ES"/>
        </w:rPr>
        <w:t>s</w:t>
      </w:r>
      <w:r>
        <w:rPr>
          <w:rFonts w:ascii="Tahoma" w:hAnsi="Tahoma" w:cs="Tahoma"/>
          <w:sz w:val="24"/>
          <w:szCs w:val="24"/>
          <w:lang w:val="es-ES" w:eastAsia="es-ES"/>
        </w:rPr>
        <w:t xml:space="preserve"> actos que puede</w:t>
      </w:r>
      <w:r w:rsidR="00641220">
        <w:rPr>
          <w:rFonts w:ascii="Tahoma" w:hAnsi="Tahoma" w:cs="Tahoma"/>
          <w:sz w:val="24"/>
          <w:szCs w:val="24"/>
          <w:lang w:val="es-ES" w:eastAsia="es-ES"/>
        </w:rPr>
        <w:t xml:space="preserve">n </w:t>
      </w:r>
      <w:r>
        <w:rPr>
          <w:rFonts w:ascii="Tahoma" w:hAnsi="Tahoma" w:cs="Tahoma"/>
          <w:sz w:val="24"/>
          <w:szCs w:val="24"/>
          <w:lang w:val="es-ES" w:eastAsia="es-ES"/>
        </w:rPr>
        <w:t>Impugnarse son:</w:t>
      </w:r>
    </w:p>
    <w:p w:rsidR="009A5819" w:rsidRDefault="00716AF6">
      <w:pPr>
        <w:kinsoku w:val="0"/>
        <w:overflowPunct w:val="0"/>
        <w:autoSpaceDE/>
        <w:autoSpaceDN/>
        <w:adjustRightInd/>
        <w:spacing w:before="251" w:line="284" w:lineRule="exact"/>
        <w:ind w:left="288"/>
        <w:textAlignment w:val="baseline"/>
        <w:rPr>
          <w:rFonts w:ascii="Tahoma" w:hAnsi="Tahoma" w:cs="Tahoma"/>
          <w:sz w:val="24"/>
          <w:szCs w:val="24"/>
          <w:lang w:eastAsia="en-US"/>
        </w:rPr>
      </w:pPr>
      <w:r>
        <w:rPr>
          <w:rFonts w:ascii="Tahoma" w:hAnsi="Tahoma" w:cs="Tahoma"/>
          <w:spacing w:val="11"/>
          <w:sz w:val="24"/>
          <w:szCs w:val="24"/>
          <w:lang w:val="es-ES" w:eastAsia="es-ES"/>
        </w:rPr>
        <w:t xml:space="preserve">Artículo </w:t>
      </w:r>
      <w:proofErr w:type="gramStart"/>
      <w:r>
        <w:rPr>
          <w:rFonts w:ascii="Tahoma" w:hAnsi="Tahoma" w:cs="Tahoma"/>
          <w:spacing w:val="11"/>
          <w:sz w:val="24"/>
          <w:szCs w:val="24"/>
          <w:lang w:val="es-ES" w:eastAsia="es-ES"/>
        </w:rPr>
        <w:t>345.</w:t>
      </w:r>
      <w:r>
        <w:rPr>
          <w:rFonts w:ascii="Tahoma" w:hAnsi="Tahoma" w:cs="Tahoma"/>
          <w:spacing w:val="11"/>
          <w:sz w:val="24"/>
          <w:szCs w:val="24"/>
          <w:lang w:val="es-ES" w:eastAsia="es-ES"/>
        </w:rPr>
        <w:noBreakHyphen/>
      </w:r>
      <w:proofErr w:type="gramEnd"/>
    </w:p>
    <w:p w:rsidR="009A5819" w:rsidRDefault="00716AF6">
      <w:pPr>
        <w:numPr>
          <w:ilvl w:val="0"/>
          <w:numId w:val="1"/>
        </w:numPr>
        <w:kinsoku w:val="0"/>
        <w:overflowPunct w:val="0"/>
        <w:autoSpaceDE/>
        <w:autoSpaceDN/>
        <w:adjustRightInd/>
        <w:spacing w:before="15" w:line="284" w:lineRule="exact"/>
        <w:ind w:right="288"/>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En el procedimiento ordinario cabrán los recursos ordinarios únicamente contra el acto que lo inicie, contra el que deniega la comparecencia oral o cualquier prueba y contra el acto final.</w:t>
      </w:r>
    </w:p>
    <w:p w:rsidR="009A5819" w:rsidRDefault="00716AF6">
      <w:pPr>
        <w:numPr>
          <w:ilvl w:val="0"/>
          <w:numId w:val="2"/>
        </w:numPr>
        <w:kinsoku w:val="0"/>
        <w:overflowPunct w:val="0"/>
        <w:autoSpaceDE/>
        <w:autoSpaceDN/>
        <w:adjustRightInd/>
        <w:spacing w:before="13" w:line="266" w:lineRule="exact"/>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La revocatoria contra el acto final del jerarca se regirá por las reglas</w:t>
      </w:r>
    </w:p>
    <w:p w:rsidR="009A5819" w:rsidRDefault="00716AF6">
      <w:pPr>
        <w:kinsoku w:val="0"/>
        <w:overflowPunct w:val="0"/>
        <w:autoSpaceDE/>
        <w:autoSpaceDN/>
        <w:adjustRightInd/>
        <w:spacing w:line="278" w:lineRule="exact"/>
        <w:ind w:left="288"/>
        <w:textAlignment w:val="baseline"/>
        <w:rPr>
          <w:rFonts w:ascii="Tahoma" w:hAnsi="Tahoma" w:cs="Tahoma"/>
          <w:spacing w:val="9"/>
          <w:sz w:val="24"/>
          <w:szCs w:val="24"/>
          <w:lang w:val="es-ES" w:eastAsia="es-ES"/>
        </w:rPr>
      </w:pPr>
      <w:r>
        <w:rPr>
          <w:rFonts w:ascii="Tahoma" w:hAnsi="Tahoma" w:cs="Tahoma"/>
          <w:spacing w:val="9"/>
          <w:sz w:val="24"/>
          <w:szCs w:val="24"/>
          <w:lang w:val="es-ES" w:eastAsia="es-ES"/>
        </w:rPr>
        <w:t>de la reposición de la Ley</w:t>
      </w:r>
    </w:p>
    <w:p w:rsidR="009A5819" w:rsidRDefault="00716AF6">
      <w:pPr>
        <w:kinsoku w:val="0"/>
        <w:overflowPunct w:val="0"/>
        <w:autoSpaceDE/>
        <w:autoSpaceDN/>
        <w:adjustRightInd/>
        <w:spacing w:line="284" w:lineRule="exact"/>
        <w:ind w:left="288"/>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Reguladora de la Jurisdicción Contencioso Administrativa.</w:t>
      </w:r>
    </w:p>
    <w:p w:rsidR="009A5819" w:rsidRDefault="00716AF6">
      <w:pPr>
        <w:numPr>
          <w:ilvl w:val="0"/>
          <w:numId w:val="2"/>
        </w:numPr>
        <w:kinsoku w:val="0"/>
        <w:overflowPunct w:val="0"/>
        <w:autoSpaceDE/>
        <w:autoSpaceDN/>
        <w:adjustRightInd/>
        <w:spacing w:before="26" w:line="284" w:lineRule="exact"/>
        <w:ind w:right="288"/>
        <w:jc w:val="both"/>
        <w:textAlignment w:val="baseline"/>
        <w:rPr>
          <w:rFonts w:ascii="Tahoma" w:hAnsi="Tahoma" w:cs="Tahoma"/>
          <w:sz w:val="24"/>
          <w:szCs w:val="24"/>
          <w:lang w:val="es-ES" w:eastAsia="es-ES"/>
        </w:rPr>
      </w:pPr>
      <w:r>
        <w:rPr>
          <w:rFonts w:ascii="Tahoma" w:hAnsi="Tahoma" w:cs="Tahoma"/>
          <w:sz w:val="24"/>
          <w:szCs w:val="24"/>
          <w:lang w:val="es-ES" w:eastAsia="es-ES"/>
        </w:rPr>
        <w:t>Se considerará como final también el acto de tramitación que suspenda indefinidamente o haga imposible la continuación del procedimiento.</w:t>
      </w:r>
    </w:p>
    <w:p w:rsidR="009A5819" w:rsidRDefault="00716AF6">
      <w:pPr>
        <w:kinsoku w:val="0"/>
        <w:overflowPunct w:val="0"/>
        <w:autoSpaceDE/>
        <w:autoSpaceDN/>
        <w:adjustRightInd/>
        <w:spacing w:before="281" w:after="934" w:line="278" w:lineRule="exact"/>
        <w:ind w:left="288" w:right="288"/>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Al ser el acto impugnado una disposición de mero trámite y por su naturaleza inimpugnable, el recurso debe ser desestimado por improcedente.</w:t>
      </w:r>
    </w:p>
    <w:p w:rsidR="009A5819" w:rsidRDefault="009A5819">
      <w:pPr>
        <w:widowControl/>
        <w:rPr>
          <w:sz w:val="24"/>
          <w:szCs w:val="24"/>
        </w:rPr>
        <w:sectPr w:rsidR="009A5819">
          <w:pgSz w:w="12326" w:h="15782"/>
          <w:pgMar w:top="2120" w:right="1645" w:bottom="101" w:left="1521" w:header="720" w:footer="720" w:gutter="0"/>
          <w:cols w:space="720"/>
          <w:noEndnote/>
        </w:sectPr>
      </w:pPr>
    </w:p>
    <w:p w:rsidR="009A5819" w:rsidRDefault="00716AF6">
      <w:pPr>
        <w:kinsoku w:val="0"/>
        <w:overflowPunct w:val="0"/>
        <w:autoSpaceDE/>
        <w:autoSpaceDN/>
        <w:adjustRightInd/>
        <w:spacing w:before="12" w:line="281"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Ahora bien, en cuanto a la prescripción y la caducidad invocadas, este Tribunal se abstiene de emitir criterio alguno, pues si el accionante presenta las excepciones referidas en el momento procesal oportuno, eventualmente podría este órgano tener que entrar a conocer de los mismos de resultar procedente y por ende podría incurrir en adelantamiento de criterio en este momento.</w:t>
      </w:r>
    </w:p>
    <w:p w:rsidR="009A5819" w:rsidRDefault="00716AF6">
      <w:pPr>
        <w:kinsoku w:val="0"/>
        <w:overflowPunct w:val="0"/>
        <w:autoSpaceDE/>
        <w:autoSpaceDN/>
        <w:adjustRightInd/>
        <w:spacing w:before="580" w:line="275" w:lineRule="exact"/>
        <w:jc w:val="center"/>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POR TANTO</w:t>
      </w:r>
    </w:p>
    <w:p w:rsidR="009A5819" w:rsidRDefault="00716AF6">
      <w:pPr>
        <w:numPr>
          <w:ilvl w:val="0"/>
          <w:numId w:val="3"/>
        </w:numPr>
        <w:kinsoku w:val="0"/>
        <w:overflowPunct w:val="0"/>
        <w:autoSpaceDE/>
        <w:autoSpaceDN/>
        <w:adjustRightInd/>
        <w:spacing w:before="572" w:line="28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rechaza por Improcedente </w:t>
      </w:r>
      <w:r>
        <w:rPr>
          <w:rFonts w:ascii="Verdana" w:hAnsi="Verdana" w:cs="Verdana"/>
          <w:b/>
          <w:bCs/>
          <w:sz w:val="22"/>
          <w:szCs w:val="22"/>
          <w:lang w:val="es-ES" w:eastAsia="es-ES"/>
        </w:rPr>
        <w:t xml:space="preserve">RECURSO DE APELACIÓN EN SUBSIDIO, NULIDAD CONCOMITANTE EXCEPCIONES DE CADUCIDAD Y PRESCRIPCIÓN, INTERPUESTO </w:t>
      </w:r>
      <w:r>
        <w:rPr>
          <w:rFonts w:ascii="Verdana" w:hAnsi="Verdana" w:cs="Verdana"/>
          <w:sz w:val="24"/>
          <w:szCs w:val="24"/>
          <w:lang w:val="es-ES" w:eastAsia="es-ES"/>
        </w:rPr>
        <w:t xml:space="preserve">por </w:t>
      </w:r>
      <w:r>
        <w:rPr>
          <w:rFonts w:ascii="Verdana" w:hAnsi="Verdana" w:cs="Verdana"/>
          <w:b/>
          <w:bCs/>
          <w:sz w:val="22"/>
          <w:szCs w:val="22"/>
          <w:lang w:val="es-ES" w:eastAsia="es-ES"/>
        </w:rPr>
        <w:t>F</w:t>
      </w:r>
      <w:r w:rsidR="00641220">
        <w:rPr>
          <w:rFonts w:ascii="Verdana" w:hAnsi="Verdana" w:cs="Verdana"/>
          <w:b/>
          <w:bCs/>
          <w:sz w:val="22"/>
          <w:szCs w:val="22"/>
          <w:lang w:val="es-ES" w:eastAsia="es-ES"/>
        </w:rPr>
        <w:t>.J.S.A.</w:t>
      </w:r>
      <w:r>
        <w:rPr>
          <w:rFonts w:ascii="Verdana" w:hAnsi="Verdana" w:cs="Verdana"/>
          <w:b/>
          <w:bCs/>
          <w:sz w:val="22"/>
          <w:szCs w:val="22"/>
          <w:lang w:val="es-ES" w:eastAsia="es-ES"/>
        </w:rPr>
        <w:t xml:space="preserve"> cédula de identidad número </w:t>
      </w:r>
      <w:r w:rsidR="00641220">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4"/>
          <w:szCs w:val="24"/>
          <w:lang w:val="es-ES" w:eastAsia="es-ES"/>
        </w:rPr>
        <w:t xml:space="preserve">por medio de su Apoderado Especial </w:t>
      </w:r>
      <w:r>
        <w:rPr>
          <w:rFonts w:ascii="Verdana" w:hAnsi="Verdana" w:cs="Verdana"/>
          <w:b/>
          <w:bCs/>
          <w:sz w:val="22"/>
          <w:szCs w:val="22"/>
          <w:lang w:val="es-ES" w:eastAsia="es-ES"/>
        </w:rPr>
        <w:t>R</w:t>
      </w:r>
      <w:r w:rsidR="00641220">
        <w:rPr>
          <w:rFonts w:ascii="Verdana" w:hAnsi="Verdana" w:cs="Verdana"/>
          <w:b/>
          <w:bCs/>
          <w:sz w:val="22"/>
          <w:szCs w:val="22"/>
          <w:lang w:val="es-ES" w:eastAsia="es-ES"/>
        </w:rPr>
        <w:t>.V.C.</w:t>
      </w:r>
      <w:r>
        <w:rPr>
          <w:rFonts w:ascii="Verdana" w:hAnsi="Verdana" w:cs="Verdana"/>
          <w:b/>
          <w:bCs/>
          <w:sz w:val="22"/>
          <w:szCs w:val="22"/>
          <w:lang w:val="es-ES" w:eastAsia="es-ES"/>
        </w:rPr>
        <w:t xml:space="preserve"> cédula de identidad número </w:t>
      </w:r>
      <w:r w:rsidR="00641220">
        <w:rPr>
          <w:rFonts w:ascii="Verdana" w:hAnsi="Verdana" w:cs="Verdana"/>
          <w:b/>
          <w:bCs/>
          <w:sz w:val="22"/>
          <w:szCs w:val="22"/>
          <w:lang w:val="es-ES" w:eastAsia="es-ES"/>
        </w:rPr>
        <w:t>…</w:t>
      </w:r>
      <w:r>
        <w:rPr>
          <w:rFonts w:ascii="Verdana" w:hAnsi="Verdana" w:cs="Verdana"/>
          <w:b/>
          <w:bCs/>
          <w:sz w:val="22"/>
          <w:szCs w:val="22"/>
          <w:lang w:val="es-ES" w:eastAsia="es-ES"/>
        </w:rPr>
        <w:t xml:space="preserve">, contra el artículo 7.4.4 de la Sesión Ordinaria 24-2017 de 14 de junio de 2017, </w:t>
      </w:r>
      <w:r>
        <w:rPr>
          <w:rFonts w:ascii="Verdana" w:hAnsi="Verdana" w:cs="Verdana"/>
          <w:sz w:val="24"/>
          <w:szCs w:val="24"/>
          <w:lang w:val="es-ES" w:eastAsia="es-ES"/>
        </w:rPr>
        <w:t>adoptado por La Junta Directiva del Consejo de Transporte Público.</w:t>
      </w:r>
    </w:p>
    <w:p w:rsidR="009A5819" w:rsidRDefault="00716AF6">
      <w:pPr>
        <w:numPr>
          <w:ilvl w:val="0"/>
          <w:numId w:val="4"/>
        </w:numPr>
        <w:kinsoku w:val="0"/>
        <w:overflowPunct w:val="0"/>
        <w:autoSpaceDE/>
        <w:autoSpaceDN/>
        <w:adjustRightInd/>
        <w:spacing w:before="294" w:after="187" w:line="275" w:lineRule="exact"/>
        <w:jc w:val="both"/>
        <w:textAlignment w:val="baseline"/>
        <w:rPr>
          <w:rFonts w:ascii="Verdana" w:hAnsi="Verdana" w:cs="Verdana"/>
          <w:sz w:val="24"/>
          <w:szCs w:val="24"/>
          <w:lang w:eastAsia="en-US"/>
        </w:rPr>
      </w:pPr>
      <w:proofErr w:type="gramStart"/>
      <w:r>
        <w:rPr>
          <w:rFonts w:ascii="Verdana" w:hAnsi="Verdana" w:cs="Verdana"/>
          <w:b/>
          <w:bCs/>
          <w:spacing w:val="6"/>
          <w:sz w:val="22"/>
          <w:szCs w:val="22"/>
          <w:lang w:val="es-ES" w:eastAsia="es-ES"/>
        </w:rPr>
        <w:t>NOTIFIQUESE.</w:t>
      </w:r>
      <w:r>
        <w:rPr>
          <w:rFonts w:ascii="Verdana" w:hAnsi="Verdana" w:cs="Verdana"/>
          <w:b/>
          <w:bCs/>
          <w:spacing w:val="6"/>
          <w:sz w:val="22"/>
          <w:szCs w:val="22"/>
          <w:lang w:val="es-ES" w:eastAsia="es-ES"/>
        </w:rPr>
        <w:noBreakHyphen/>
      </w:r>
      <w:proofErr w:type="gramEnd"/>
    </w:p>
    <w:p w:rsidR="009A5819" w:rsidRDefault="009A5819">
      <w:pPr>
        <w:widowControl/>
        <w:rPr>
          <w:sz w:val="24"/>
          <w:szCs w:val="24"/>
        </w:rPr>
      </w:pPr>
    </w:p>
    <w:p w:rsidR="00641220" w:rsidRDefault="00641220">
      <w:pPr>
        <w:widowControl/>
        <w:rPr>
          <w:sz w:val="24"/>
          <w:szCs w:val="24"/>
        </w:rPr>
      </w:pPr>
    </w:p>
    <w:p w:rsidR="00641220" w:rsidRPr="00DE692E" w:rsidRDefault="00641220" w:rsidP="00641220">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641220" w:rsidRPr="00DE692E" w:rsidRDefault="00641220" w:rsidP="00641220">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641220" w:rsidRDefault="00641220" w:rsidP="00641220">
      <w:pPr>
        <w:kinsoku w:val="0"/>
        <w:overflowPunct w:val="0"/>
        <w:autoSpaceDE/>
        <w:autoSpaceDN/>
        <w:adjustRightInd/>
        <w:spacing w:after="870" w:line="303" w:lineRule="exact"/>
        <w:ind w:right="216"/>
        <w:jc w:val="center"/>
        <w:textAlignment w:val="baseline"/>
        <w:rPr>
          <w:b/>
          <w:bCs/>
          <w:sz w:val="23"/>
          <w:szCs w:val="23"/>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641220" w:rsidRDefault="00641220">
      <w:pPr>
        <w:widowControl/>
        <w:rPr>
          <w:sz w:val="24"/>
          <w:szCs w:val="24"/>
        </w:rPr>
        <w:sectPr w:rsidR="00641220">
          <w:pgSz w:w="12326" w:h="15782"/>
          <w:pgMar w:top="2040" w:right="2016" w:bottom="171" w:left="1670" w:header="720" w:footer="720" w:gutter="0"/>
          <w:cols w:space="720"/>
          <w:noEndnote/>
        </w:sectPr>
      </w:pPr>
    </w:p>
    <w:p w:rsidR="009A5819" w:rsidRDefault="009A5819">
      <w:pPr>
        <w:widowControl/>
        <w:rPr>
          <w:sz w:val="24"/>
          <w:szCs w:val="24"/>
        </w:rPr>
        <w:sectPr w:rsidR="009A5819">
          <w:type w:val="continuous"/>
          <w:pgSz w:w="12326" w:h="15782"/>
          <w:pgMar w:top="2040" w:right="8422" w:bottom="171" w:left="1704" w:header="720" w:footer="720" w:gutter="0"/>
          <w:cols w:space="720"/>
          <w:noEndnote/>
        </w:sectPr>
      </w:pPr>
    </w:p>
    <w:p w:rsidR="00716AF6" w:rsidRDefault="00716AF6" w:rsidP="00641220">
      <w:pPr>
        <w:tabs>
          <w:tab w:val="right" w:pos="2664"/>
        </w:tabs>
        <w:kinsoku w:val="0"/>
        <w:overflowPunct w:val="0"/>
        <w:autoSpaceDE/>
        <w:autoSpaceDN/>
        <w:adjustRightInd/>
        <w:spacing w:before="2" w:line="216" w:lineRule="exact"/>
        <w:ind w:left="144"/>
        <w:textAlignment w:val="baseline"/>
        <w:rPr>
          <w:sz w:val="19"/>
          <w:szCs w:val="19"/>
          <w:lang w:val="es-ES" w:eastAsia="es-ES"/>
        </w:rPr>
      </w:pPr>
    </w:p>
    <w:sectPr w:rsidR="00716AF6">
      <w:type w:val="continuous"/>
      <w:pgSz w:w="12326" w:h="15782"/>
      <w:pgMar w:top="2040" w:right="1812" w:bottom="171" w:left="76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ED59"/>
    <w:multiLevelType w:val="singleLevel"/>
    <w:tmpl w:val="A6E2BA80"/>
    <w:lvl w:ilvl="0">
      <w:start w:val="1"/>
      <w:numFmt w:val="upperRoman"/>
      <w:lvlText w:val="%1.-"/>
      <w:lvlJc w:val="left"/>
      <w:pPr>
        <w:tabs>
          <w:tab w:val="num" w:pos="576"/>
        </w:tabs>
      </w:pPr>
      <w:rPr>
        <w:rFonts w:ascii="Verdana" w:hAnsi="Verdana" w:cs="Verdana"/>
        <w:b/>
        <w:snapToGrid/>
        <w:sz w:val="24"/>
        <w:szCs w:val="24"/>
      </w:rPr>
    </w:lvl>
  </w:abstractNum>
  <w:abstractNum w:abstractNumId="1" w15:restartNumberingAfterBreak="0">
    <w:nsid w:val="023C01F4"/>
    <w:multiLevelType w:val="singleLevel"/>
    <w:tmpl w:val="62C67E8D"/>
    <w:lvl w:ilvl="0">
      <w:start w:val="1"/>
      <w:numFmt w:val="decimal"/>
      <w:lvlText w:val="%1."/>
      <w:lvlJc w:val="left"/>
      <w:pPr>
        <w:tabs>
          <w:tab w:val="num" w:pos="792"/>
        </w:tabs>
        <w:ind w:left="288"/>
      </w:pPr>
      <w:rPr>
        <w:rFonts w:ascii="Tahoma" w:hAnsi="Tahoma" w:cs="Tahoma"/>
        <w:snapToGrid/>
        <w:spacing w:val="12"/>
        <w:sz w:val="24"/>
        <w:szCs w:val="24"/>
      </w:rPr>
    </w:lvl>
  </w:abstractNum>
  <w:num w:numId="1">
    <w:abstractNumId w:val="1"/>
  </w:num>
  <w:num w:numId="2">
    <w:abstractNumId w:val="1"/>
    <w:lvlOverride w:ilvl="0">
      <w:lvl w:ilvl="0">
        <w:numFmt w:val="decimal"/>
        <w:lvlText w:val="%1."/>
        <w:lvlJc w:val="left"/>
        <w:pPr>
          <w:tabs>
            <w:tab w:val="num" w:pos="576"/>
          </w:tabs>
          <w:ind w:left="288"/>
        </w:pPr>
        <w:rPr>
          <w:rFonts w:ascii="Tahoma" w:hAnsi="Tahoma" w:cs="Tahoma"/>
          <w:snapToGrid/>
          <w:spacing w:val="15"/>
          <w:sz w:val="24"/>
          <w:szCs w:val="24"/>
        </w:rPr>
      </w:lvl>
    </w:lvlOverride>
  </w:num>
  <w:num w:numId="3">
    <w:abstractNumId w:val="0"/>
  </w:num>
  <w:num w:numId="4">
    <w:abstractNumId w:val="0"/>
    <w:lvlOverride w:ilvl="0">
      <w:lvl w:ilvl="0">
        <w:numFmt w:val="upperRoman"/>
        <w:lvlText w:val="%1.-"/>
        <w:lvlJc w:val="left"/>
        <w:pPr>
          <w:tabs>
            <w:tab w:val="num" w:pos="576"/>
          </w:tabs>
        </w:pPr>
        <w:rPr>
          <w:rFonts w:ascii="Verdana" w:hAnsi="Verdana" w:cs="Verdana"/>
          <w:b/>
          <w:bCs/>
          <w:snapToGrid/>
          <w:spacing w:val="6"/>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20"/>
    <w:rsid w:val="00641220"/>
    <w:rsid w:val="00716AF6"/>
    <w:rsid w:val="007649B6"/>
    <w:rsid w:val="009A581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2019-04-25T16:49:00Z</dcterms:created>
  <dcterms:modified xsi:type="dcterms:W3CDTF">2019-04-25T16:49:00Z</dcterms:modified>
</cp:coreProperties>
</file>